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2F3B" w14:textId="0717AE34" w:rsidR="0068379A" w:rsidRPr="002D3F1A" w:rsidRDefault="0068379A" w:rsidP="002D3F1A">
      <w:pPr>
        <w:shd w:val="clear" w:color="auto" w:fill="B4C6E7" w:themeFill="accent1" w:themeFillTint="66"/>
        <w:jc w:val="center"/>
        <w:rPr>
          <w:rFonts w:ascii="Times New Roman" w:eastAsia="Calibri" w:hAnsi="Times New Roman"/>
          <w:b/>
          <w:bCs/>
          <w:iCs/>
          <w:sz w:val="24"/>
          <w:lang w:val="sr-Cyrl-RS"/>
        </w:rPr>
      </w:pPr>
      <w:bookmarkStart w:id="0" w:name="_Toc118107500"/>
      <w:bookmarkStart w:id="1" w:name="_Toc118106181"/>
      <w:bookmarkStart w:id="2" w:name="_Toc130372034"/>
      <w:bookmarkStart w:id="3" w:name="_Toc130372246"/>
      <w:r w:rsidRPr="002D3F1A">
        <w:rPr>
          <w:rFonts w:ascii="Times New Roman" w:eastAsia="Calibri" w:hAnsi="Times New Roman"/>
          <w:b/>
          <w:bCs/>
          <w:iCs/>
          <w:sz w:val="24"/>
          <w:lang w:val="sr-Cyrl-RS"/>
        </w:rPr>
        <w:t>КРИТЕРИЈУМИ ЗА ДОДЕЛУ УГОВОРА</w:t>
      </w:r>
      <w:r w:rsidR="006F114C" w:rsidRPr="002D3F1A">
        <w:rPr>
          <w:rFonts w:ascii="Times New Roman" w:eastAsia="Calibri" w:hAnsi="Times New Roman"/>
          <w:b/>
          <w:bCs/>
          <w:iCs/>
          <w:sz w:val="24"/>
          <w:lang w:val="sr-Latn-RS"/>
        </w:rPr>
        <w:t xml:space="preserve"> </w:t>
      </w:r>
    </w:p>
    <w:p w14:paraId="125581C2" w14:textId="77777777" w:rsidR="002D3F1A" w:rsidRPr="002D3F1A" w:rsidRDefault="002D3F1A" w:rsidP="002D3F1A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b/>
          <w:sz w:val="24"/>
          <w:lang w:val="sr-Latn-RS"/>
        </w:rPr>
      </w:pPr>
      <w:proofErr w:type="spellStart"/>
      <w:r w:rsidRPr="002D3F1A">
        <w:rPr>
          <w:rFonts w:ascii="Times New Roman" w:hAnsi="Times New Roman"/>
          <w:b/>
          <w:sz w:val="24"/>
        </w:rPr>
        <w:t>Партија</w:t>
      </w:r>
      <w:proofErr w:type="spellEnd"/>
      <w:r w:rsidRPr="002D3F1A">
        <w:rPr>
          <w:rFonts w:ascii="Times New Roman" w:hAnsi="Times New Roman"/>
          <w:b/>
          <w:sz w:val="24"/>
        </w:rPr>
        <w:t xml:space="preserve"> </w:t>
      </w:r>
      <w:proofErr w:type="spellStart"/>
      <w:r w:rsidRPr="002D3F1A">
        <w:rPr>
          <w:rFonts w:ascii="Times New Roman" w:hAnsi="Times New Roman"/>
          <w:b/>
          <w:sz w:val="24"/>
        </w:rPr>
        <w:t>број</w:t>
      </w:r>
      <w:proofErr w:type="spellEnd"/>
      <w:r w:rsidRPr="002D3F1A">
        <w:rPr>
          <w:rFonts w:ascii="Times New Roman" w:hAnsi="Times New Roman"/>
          <w:b/>
          <w:sz w:val="24"/>
        </w:rPr>
        <w:t xml:space="preserve"> </w:t>
      </w:r>
      <w:r w:rsidRPr="002D3F1A">
        <w:rPr>
          <w:rFonts w:ascii="Times New Roman" w:hAnsi="Times New Roman"/>
          <w:b/>
          <w:sz w:val="24"/>
          <w:lang w:val="sr-Latn-RS"/>
        </w:rPr>
        <w:t>2</w:t>
      </w:r>
    </w:p>
    <w:p w14:paraId="7AE90BD5" w14:textId="1E7EFB97" w:rsidR="002D3F1A" w:rsidRPr="002D3F1A" w:rsidRDefault="002D3F1A" w:rsidP="002D3F1A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sz w:val="24"/>
          <w:lang w:val="sr-Cyrl-RS"/>
        </w:rPr>
      </w:pPr>
      <w:r w:rsidRPr="002D3F1A">
        <w:rPr>
          <w:rFonts w:ascii="Times New Roman" w:hAnsi="Times New Roman"/>
          <w:sz w:val="24"/>
          <w:lang w:val="sr-Cyrl-RS"/>
        </w:rPr>
        <w:t xml:space="preserve">Набавка услуге изнајмљивања комби возила са возачем </w:t>
      </w:r>
      <w:r w:rsidR="008255DF" w:rsidRPr="008255DF">
        <w:rPr>
          <w:rFonts w:ascii="Times New Roman" w:hAnsi="Times New Roman"/>
          <w:sz w:val="24"/>
          <w:lang w:val="sr-Cyrl-RS"/>
        </w:rPr>
        <w:t>за потребе Развојне агенције Србије</w:t>
      </w:r>
    </w:p>
    <w:p w14:paraId="763FCDA3" w14:textId="77777777" w:rsidR="0068379A" w:rsidRPr="00FB5E4F" w:rsidRDefault="0068379A" w:rsidP="0068379A">
      <w:pPr>
        <w:shd w:val="clear" w:color="auto" w:fill="DEEAF6"/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6"/>
          <w:lang w:val="sr-Cyrl-RS" w:eastAsia="ar-SA"/>
        </w:rPr>
      </w:pPr>
    </w:p>
    <w:p w14:paraId="08C0D2F1" w14:textId="77777777" w:rsidR="0068379A" w:rsidRPr="00FB5E4F" w:rsidRDefault="0068379A" w:rsidP="0068379A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lang w:val="sr-Cyrl-RS" w:eastAsia="ar-SA"/>
        </w:rPr>
      </w:pPr>
    </w:p>
    <w:p w14:paraId="68690A3E" w14:textId="77777777" w:rsidR="0068379A" w:rsidRPr="00FB5E4F" w:rsidRDefault="0068379A" w:rsidP="0068379A">
      <w:pPr>
        <w:suppressAutoHyphens/>
        <w:jc w:val="both"/>
        <w:rPr>
          <w:rFonts w:ascii="Times New Roman" w:eastAsia="TimesNewRomanPSMT" w:hAnsi="Times New Roman"/>
          <w:b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  <w:r w:rsidRPr="00FB5E4F">
        <w:rPr>
          <w:rFonts w:ascii="Times New Roman" w:eastAsia="TimesNewRomanPSMT" w:hAnsi="Times New Roman"/>
          <w:b/>
          <w:bCs/>
          <w:sz w:val="24"/>
          <w:lang w:val="sr-Cyrl-RS"/>
        </w:rPr>
        <w:t>1. Врста критеријума за доделу уговора</w:t>
      </w:r>
    </w:p>
    <w:p w14:paraId="20BACA30" w14:textId="77777777" w:rsidR="0068379A" w:rsidRPr="00FB5E4F" w:rsidRDefault="0068379A" w:rsidP="0068379A">
      <w:pPr>
        <w:jc w:val="both"/>
        <w:rPr>
          <w:rFonts w:ascii="Times New Roman" w:eastAsia="Calibri" w:hAnsi="Times New Roman"/>
          <w:sz w:val="24"/>
          <w:lang w:val="sr-Cyrl-RS"/>
        </w:rPr>
      </w:pPr>
    </w:p>
    <w:p w14:paraId="38EB48DD" w14:textId="77777777" w:rsidR="0068379A" w:rsidRPr="00FB5E4F" w:rsidRDefault="00163BB7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>
        <w:rPr>
          <w:rFonts w:ascii="Times New Roman" w:eastAsia="Calibri" w:hAnsi="Times New Roman"/>
          <w:sz w:val="24"/>
          <w:lang w:val="sr-Cyrl-RS"/>
        </w:rPr>
        <w:t xml:space="preserve">Наручилац је дефинисао критеријуме за доделу уговора на основу </w:t>
      </w:r>
      <w:r w:rsidRPr="00435505">
        <w:rPr>
          <w:rFonts w:ascii="Times New Roman" w:eastAsia="Calibri" w:hAnsi="Times New Roman"/>
          <w:b/>
          <w:sz w:val="24"/>
          <w:lang w:val="sr-Cyrl-RS"/>
        </w:rPr>
        <w:t>односа цене и квалитета</w:t>
      </w:r>
      <w:r>
        <w:rPr>
          <w:rFonts w:ascii="Times New Roman" w:eastAsia="Calibri" w:hAnsi="Times New Roman"/>
          <w:b/>
          <w:bCs/>
          <w:sz w:val="24"/>
          <w:lang w:val="sr-Cyrl-RS" w:eastAsia="sr-Latn-RS"/>
        </w:rPr>
        <w:t>.</w:t>
      </w:r>
      <w:r w:rsidR="0068379A"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</w:p>
    <w:p w14:paraId="35570D51" w14:textId="77777777" w:rsidR="0068379A" w:rsidRDefault="0068379A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</w:p>
    <w:p w14:paraId="67A6BDC1" w14:textId="2295E08D" w:rsidR="0068379A" w:rsidRDefault="0068379A" w:rsidP="0068379A">
      <w:pPr>
        <w:jc w:val="both"/>
        <w:rPr>
          <w:rFonts w:ascii="Times New Roman" w:eastAsia="TimesNewRomanPSMT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2. </w:t>
      </w:r>
      <w:r w:rsidRPr="00866259">
        <w:rPr>
          <w:rFonts w:ascii="Times New Roman" w:eastAsia="Calibri" w:hAnsi="Times New Roman"/>
          <w:b/>
          <w:sz w:val="24"/>
          <w:lang w:val="sr-Cyrl-RS"/>
        </w:rPr>
        <w:t xml:space="preserve">Релевантни значај у </w:t>
      </w:r>
      <w:r w:rsidRPr="00866259">
        <w:rPr>
          <w:rFonts w:ascii="Times New Roman" w:eastAsia="TimesNewRomanPSMT" w:hAnsi="Times New Roman"/>
          <w:b/>
          <w:sz w:val="24"/>
          <w:lang w:val="sr-Cyrl-RS"/>
        </w:rPr>
        <w:t>пондерима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за сваки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 xml:space="preserve"> елемент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критеријум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>а</w:t>
      </w:r>
      <w:r w:rsidR="009C26BC">
        <w:rPr>
          <w:rFonts w:ascii="Times New Roman" w:eastAsia="TimesNewRomanPSMT" w:hAnsi="Times New Roman"/>
          <w:b/>
          <w:sz w:val="24"/>
          <w:lang w:val="sr-Cyrl-RS"/>
        </w:rPr>
        <w:t xml:space="preserve"> и методологија </w:t>
      </w:r>
      <w:r w:rsidR="009C26BC" w:rsidRPr="00435505">
        <w:rPr>
          <w:rFonts w:ascii="Times New Roman" w:hAnsi="Times New Roman"/>
          <w:b/>
          <w:sz w:val="24"/>
          <w:lang w:val="sr-Cyrl-RS"/>
        </w:rPr>
        <w:t>за избор најповољније понуде</w:t>
      </w:r>
    </w:p>
    <w:p w14:paraId="192C0DFB" w14:textId="77777777" w:rsidR="00895EA7" w:rsidRPr="00FF56DD" w:rsidRDefault="00895EA7" w:rsidP="00895EA7">
      <w:pPr>
        <w:jc w:val="both"/>
        <w:rPr>
          <w:rFonts w:ascii="Times New Roman" w:hAnsi="Times New Roman"/>
          <w:bCs/>
          <w:sz w:val="16"/>
          <w:szCs w:val="16"/>
          <w:lang w:val="sr-Cyrl-RS"/>
        </w:rPr>
      </w:pPr>
    </w:p>
    <w:p w14:paraId="4A210E74" w14:textId="4B2A2DAA" w:rsidR="00895EA7" w:rsidRDefault="00895EA7" w:rsidP="00895EA7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0E5A2C">
        <w:rPr>
          <w:rFonts w:ascii="Times New Roman" w:hAnsi="Times New Roman"/>
          <w:sz w:val="24"/>
          <w:lang w:eastAsia="sr-Latn-CS"/>
        </w:rPr>
        <w:t>Оцењивање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рангирање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достављених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понуда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заснива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на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укупном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збиру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бодова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(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пондера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) за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следеће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елементе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критеријума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>:</w:t>
      </w:r>
    </w:p>
    <w:p w14:paraId="2C26A029" w14:textId="60DB10B8" w:rsidR="00A87451" w:rsidRDefault="00A87451" w:rsidP="00895EA7">
      <w:pPr>
        <w:jc w:val="both"/>
        <w:rPr>
          <w:rFonts w:ascii="Times New Roman" w:hAnsi="Times New Roman"/>
          <w:sz w:val="24"/>
          <w:lang w:eastAsia="sr-Latn-CS"/>
        </w:rPr>
      </w:pPr>
    </w:p>
    <w:p w14:paraId="4F1D5C27" w14:textId="678A0874" w:rsidR="00A87451" w:rsidRPr="00205E41" w:rsidRDefault="00A87451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205E41">
        <w:rPr>
          <w:rFonts w:ascii="Times New Roman" w:hAnsi="Times New Roman"/>
          <w:sz w:val="24"/>
          <w:lang w:val="sr-Cyrl-RS"/>
        </w:rPr>
        <w:t>Цена услуге без ПДВ-а -</w:t>
      </w:r>
      <w:r w:rsidRPr="00205E41">
        <w:rPr>
          <w:rFonts w:ascii="Times New Roman" w:hAnsi="Times New Roman"/>
          <w:sz w:val="24"/>
          <w:lang w:val="sr-Latn-RS"/>
        </w:rPr>
        <w:t xml:space="preserve"> </w:t>
      </w:r>
      <w:r w:rsidR="009753A2" w:rsidRPr="00205E41">
        <w:rPr>
          <w:rFonts w:ascii="Times New Roman" w:hAnsi="Times New Roman"/>
          <w:sz w:val="24"/>
          <w:lang w:val="sr-Cyrl-RS"/>
        </w:rPr>
        <w:t>7</w:t>
      </w:r>
      <w:r w:rsidRPr="00205E41">
        <w:rPr>
          <w:rFonts w:ascii="Times New Roman" w:hAnsi="Times New Roman"/>
          <w:sz w:val="24"/>
          <w:lang w:val="en-GB"/>
        </w:rPr>
        <w:t>0</w:t>
      </w:r>
      <w:r w:rsidRPr="00205E41">
        <w:rPr>
          <w:rFonts w:ascii="Times New Roman" w:hAnsi="Times New Roman"/>
          <w:sz w:val="24"/>
          <w:lang w:val="sr-Cyrl-RS"/>
        </w:rPr>
        <w:t xml:space="preserve"> </w:t>
      </w:r>
      <w:r w:rsidRPr="00205E41">
        <w:rPr>
          <w:rFonts w:ascii="Times New Roman" w:hAnsi="Times New Roman"/>
          <w:sz w:val="24"/>
          <w:lang w:val="sr-Latn-RS"/>
        </w:rPr>
        <w:t>пондера</w:t>
      </w:r>
      <w:r w:rsidRPr="00205E41">
        <w:rPr>
          <w:rFonts w:ascii="Times New Roman" w:hAnsi="Times New Roman"/>
          <w:sz w:val="24"/>
          <w:lang w:val="sr-Cyrl-RS"/>
        </w:rPr>
        <w:t xml:space="preserve"> (цене без ПДВ-а наведене у </w:t>
      </w:r>
      <w:r w:rsidR="000F6FA1" w:rsidRPr="00205E41">
        <w:rPr>
          <w:rFonts w:ascii="Times New Roman" w:hAnsi="Times New Roman"/>
          <w:sz w:val="24"/>
          <w:lang w:val="sr-Cyrl-RS"/>
        </w:rPr>
        <w:t xml:space="preserve">Обрасцу структуре понуђене цене, </w:t>
      </w:r>
      <w:r w:rsidR="00205E41" w:rsidRPr="00205E41">
        <w:rPr>
          <w:rFonts w:ascii="Times New Roman" w:hAnsi="Times New Roman"/>
          <w:sz w:val="24"/>
          <w:lang w:val="sr-Cyrl-RS"/>
        </w:rPr>
        <w:t xml:space="preserve">под тачком 1. Цена услуге изнајмљивања комби возила са возачем – цена </w:t>
      </w:r>
      <w:r w:rsidR="00205E41">
        <w:rPr>
          <w:rFonts w:ascii="Times New Roman" w:hAnsi="Times New Roman"/>
          <w:sz w:val="24"/>
          <w:lang w:val="sr-Cyrl-RS"/>
        </w:rPr>
        <w:t xml:space="preserve">услуге </w:t>
      </w:r>
      <w:r w:rsidR="00205E41" w:rsidRPr="00205E41">
        <w:rPr>
          <w:rFonts w:ascii="Times New Roman" w:hAnsi="Times New Roman"/>
          <w:sz w:val="24"/>
          <w:lang w:val="sr-Cyrl-RS"/>
        </w:rPr>
        <w:t>изнајмљивања возила са возачем по сату и цена услуге чекања по сату</w:t>
      </w:r>
      <w:r w:rsidRPr="00205E41">
        <w:rPr>
          <w:rFonts w:ascii="Times New Roman" w:hAnsi="Times New Roman"/>
          <w:sz w:val="24"/>
          <w:lang w:val="sr-Cyrl-RS"/>
        </w:rPr>
        <w:t>),</w:t>
      </w:r>
    </w:p>
    <w:p w14:paraId="7A7F384C" w14:textId="4433653E" w:rsidR="00A87451" w:rsidRPr="00205E41" w:rsidRDefault="009753A2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Просечна старост возила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205E4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(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наведен</w:t>
      </w:r>
      <w:r w:rsidR="00205E4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а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0F6FA1" w:rsidRPr="00205E41">
        <w:rPr>
          <w:rFonts w:ascii="Times New Roman" w:hAnsi="Times New Roman"/>
          <w:sz w:val="24"/>
          <w:lang w:val="sr-Cyrl-RS"/>
        </w:rPr>
        <w:t>у Обрасцу структуре понуђене цене,</w:t>
      </w:r>
      <w:r w:rsidR="000F6FA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A87451" w:rsidRPr="00205E41">
        <w:rPr>
          <w:rFonts w:ascii="Times New Roman" w:hAnsi="Times New Roman"/>
          <w:sz w:val="24"/>
          <w:lang w:val="sr-Cyrl-RS"/>
        </w:rPr>
        <w:t xml:space="preserve">у реду </w:t>
      </w:r>
      <w:r w:rsidR="00205E41" w:rsidRPr="00205E41">
        <w:rPr>
          <w:rFonts w:ascii="Times New Roman" w:hAnsi="Times New Roman"/>
          <w:sz w:val="24"/>
          <w:lang w:val="sr-Cyrl-RS"/>
        </w:rPr>
        <w:t xml:space="preserve">2. Просечна старост комби возила) 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– </w:t>
      </w:r>
      <w:r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3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0 пондера.</w:t>
      </w:r>
    </w:p>
    <w:p w14:paraId="01615233" w14:textId="0D9B0EE6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18588E0B" w14:textId="77777777" w:rsidR="00A87451" w:rsidRPr="00FB5E4F" w:rsidRDefault="00A87451" w:rsidP="00A87451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Cyrl-RS"/>
        </w:rPr>
        <w:t>Опис елемената критеријума и подкритеријума су наведени у табели како следи:</w:t>
      </w:r>
    </w:p>
    <w:p w14:paraId="10975305" w14:textId="0F068BE7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01"/>
        <w:gridCol w:w="1661"/>
      </w:tblGrid>
      <w:tr w:rsidR="00A87451" w:rsidRPr="004758ED" w14:paraId="1390DEF5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FC3" w14:textId="77777777" w:rsidR="00A87451" w:rsidRPr="00382E4B" w:rsidDel="008F25DC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Елемент критеријума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C3C" w14:textId="77777777" w:rsidR="00A87451" w:rsidRPr="004758ED" w:rsidRDefault="00A87451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CS"/>
              </w:rPr>
              <w:t>Број пондера</w:t>
            </w:r>
          </w:p>
        </w:tc>
      </w:tr>
      <w:tr w:rsidR="00A87451" w:rsidRPr="004758ED" w14:paraId="5B6BDDD2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C62995" w14:textId="77777777" w:rsidR="00A87451" w:rsidRPr="00EF4434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1. Цена услуге</w:t>
            </w: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без ПДВ-а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360508" w14:textId="4E6744FF" w:rsidR="00A87451" w:rsidRPr="009753A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highlight w:val="yellow"/>
                <w:lang w:val="sr-Cyrl-RS"/>
              </w:rPr>
            </w:pPr>
            <w:r w:rsidRPr="009753A2">
              <w:rPr>
                <w:rFonts w:ascii="Times New Roman" w:hAnsi="Times New Roman"/>
                <w:color w:val="000000" w:themeColor="text1"/>
                <w:sz w:val="24"/>
                <w:lang w:val="sr-Cyrl-RS"/>
              </w:rPr>
              <w:t>70</w:t>
            </w:r>
          </w:p>
        </w:tc>
      </w:tr>
      <w:tr w:rsidR="00A87451" w:rsidRPr="004758ED" w14:paraId="5B0314BA" w14:textId="77777777" w:rsidTr="006426A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99EE" w14:textId="6D186FEE" w:rsidR="00A87451" w:rsidRPr="00382E4B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Овај елемент критеријума садржи следеће подкритеријуме, који у укупном збиру чине </w:t>
            </w:r>
            <w:r w:rsidR="009753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382E4B"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пондера:</w:t>
            </w:r>
          </w:p>
        </w:tc>
      </w:tr>
      <w:tr w:rsidR="00A87451" w:rsidRPr="004758ED" w14:paraId="3648C5BC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889" w14:textId="701BC698" w:rsidR="00A87451" w:rsidRPr="004758ED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 xml:space="preserve"> 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Цена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>услуге изнајмљивања возила са возачем по сату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00" w14:textId="1AE77374" w:rsidR="00A87451" w:rsidRPr="00F636F1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50</w:t>
            </w:r>
          </w:p>
        </w:tc>
      </w:tr>
      <w:tr w:rsidR="00A87451" w:rsidRPr="004758ED" w14:paraId="5B688D0B" w14:textId="77777777" w:rsidTr="00867B42">
        <w:trPr>
          <w:trHeight w:val="1066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86EC" w14:textId="27ED2624" w:rsidR="00A87451" w:rsidRPr="00867B42" w:rsidRDefault="00A87451" w:rsidP="00867B42">
            <w:pPr>
              <w:spacing w:after="60"/>
              <w:jc w:val="both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 xml:space="preserve">1.2. Цена </w:t>
            </w:r>
            <w:r w:rsidR="009753A2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услуге чекања по сату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AE47" w14:textId="7D702868" w:rsidR="00A87451" w:rsidRPr="00867B4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20</w:t>
            </w:r>
          </w:p>
        </w:tc>
      </w:tr>
      <w:tr w:rsidR="00A87451" w:rsidRPr="004758ED" w14:paraId="412D391B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29ECF95" w14:textId="40884BA6" w:rsidR="002D3985" w:rsidRPr="002D3985" w:rsidRDefault="00A87451" w:rsidP="00A87451">
            <w:pPr>
              <w:spacing w:after="60"/>
              <w:jc w:val="both"/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</w:pPr>
            <w:r w:rsidRPr="004758ED">
              <w:rPr>
                <w:rFonts w:ascii="Times New Roman" w:hAnsi="Times New Roman"/>
                <w:sz w:val="24"/>
                <w:lang w:val="sr-Cyrl-RS"/>
              </w:rPr>
              <w:t xml:space="preserve">2.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>Просечна старост возила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18E750D" w14:textId="519C686A" w:rsidR="00A87451" w:rsidRPr="00382E4B" w:rsidRDefault="009753A2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3</w:t>
            </w:r>
            <w:r w:rsidR="00A87451"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0</w:t>
            </w:r>
          </w:p>
        </w:tc>
      </w:tr>
      <w:tr w:rsidR="00A87451" w:rsidRPr="004758ED" w14:paraId="29F6B80F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249" w14:textId="77777777" w:rsidR="00A87451" w:rsidRPr="004758ED" w:rsidRDefault="00A87451" w:rsidP="00A87451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 w:rsidRPr="004758ED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 xml:space="preserve">УКУПНО 1 + 2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D6CA" w14:textId="77777777" w:rsidR="00A87451" w:rsidRPr="00382E4B" w:rsidRDefault="00A87451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100</w:t>
            </w:r>
          </w:p>
        </w:tc>
      </w:tr>
    </w:tbl>
    <w:p w14:paraId="0931E59A" w14:textId="2B7153DE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35AB2E43" w14:textId="2B9A2AEA" w:rsidR="00A87451" w:rsidRPr="00A87451" w:rsidRDefault="00A87451" w:rsidP="00A87451">
      <w:pPr>
        <w:rPr>
          <w:rFonts w:ascii="Times New Roman" w:hAnsi="Times New Roman"/>
          <w:b/>
          <w:sz w:val="24"/>
          <w:lang w:val="sr-Cyrl-RS"/>
        </w:rPr>
      </w:pPr>
      <w:r w:rsidRPr="00435505">
        <w:rPr>
          <w:rFonts w:ascii="Times New Roman" w:hAnsi="Times New Roman"/>
          <w:b/>
          <w:sz w:val="24"/>
          <w:lang w:val="sr-Latn-RS"/>
        </w:rPr>
        <w:t>3.</w:t>
      </w:r>
      <w:r>
        <w:rPr>
          <w:rFonts w:ascii="Times New Roman" w:hAnsi="Times New Roman"/>
          <w:sz w:val="24"/>
          <w:lang w:val="sr-Latn-RS"/>
        </w:rPr>
        <w:t xml:space="preserve"> </w:t>
      </w:r>
      <w:r w:rsidRPr="00435505">
        <w:rPr>
          <w:rFonts w:ascii="Times New Roman" w:hAnsi="Times New Roman"/>
          <w:b/>
          <w:sz w:val="24"/>
          <w:lang w:val="sr-Cyrl-RS"/>
        </w:rPr>
        <w:t>Методологија за избор најповољније понуде:</w:t>
      </w:r>
    </w:p>
    <w:p w14:paraId="0AD627B9" w14:textId="77777777" w:rsidR="00895EA7" w:rsidRPr="000E5A2C" w:rsidRDefault="00895EA7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B56D76B" w14:textId="77777777" w:rsidR="009753A2" w:rsidRPr="00E626E8" w:rsidRDefault="009753A2" w:rsidP="009753A2">
      <w:pPr>
        <w:numPr>
          <w:ilvl w:val="0"/>
          <w:numId w:val="11"/>
        </w:numPr>
        <w:spacing w:after="200"/>
        <w:jc w:val="both"/>
        <w:rPr>
          <w:rFonts w:ascii="Times New Roman" w:hAnsi="Times New Roman"/>
          <w:i/>
          <w:sz w:val="24"/>
          <w:lang w:val="sr-Cyrl-RS" w:eastAsia="sr-Latn-CS"/>
        </w:rPr>
      </w:pPr>
      <w:bookmarkStart w:id="4" w:name="_Hlk1728530"/>
      <w:bookmarkEnd w:id="0"/>
      <w:bookmarkEnd w:id="1"/>
      <w:bookmarkEnd w:id="2"/>
      <w:bookmarkEnd w:id="3"/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>ЦЕНА УСЛУГЕ ИЗНАЈМЉИВАЊА ВОЗИЛА СА ВОЗАЧЕМ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 ПО САТУ</w:t>
      </w:r>
    </w:p>
    <w:p w14:paraId="7D9315AF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изнајмљивања возила са возачем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50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0EB3D77C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4"/>
          <w:lang w:val="sr-Cyrl-RS" w:eastAsia="sr-Latn-RS"/>
        </w:rPr>
      </w:pPr>
    </w:p>
    <w:p w14:paraId="245E5BBB" w14:textId="77777777" w:rsidR="009753A2" w:rsidRPr="000E5A2C" w:rsidRDefault="009753A2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5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52F1EACD" w14:textId="77777777" w:rsidR="009753A2" w:rsidRPr="00941EED" w:rsidRDefault="009753A2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25C99A75" w14:textId="77777777" w:rsidR="009753A2" w:rsidRPr="0002649B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5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42374821" w14:textId="77777777" w:rsidR="009753A2" w:rsidRPr="000E5A2C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5DD6FAB8" w14:textId="77777777" w:rsidR="009753A2" w:rsidRPr="000E5A2C" w:rsidRDefault="009753A2" w:rsidP="009753A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1B5D51CB" w14:textId="77777777" w:rsidR="009753A2" w:rsidRPr="00E968E0" w:rsidRDefault="009753A2" w:rsidP="009753A2">
      <w:pPr>
        <w:pStyle w:val="Default"/>
        <w:jc w:val="both"/>
        <w:rPr>
          <w:i/>
          <w:u w:val="single"/>
          <w:lang w:val="sr-Cyrl-CS"/>
        </w:rPr>
      </w:pPr>
      <w:r w:rsidRPr="00E968E0">
        <w:rPr>
          <w:i/>
          <w:u w:val="single"/>
          <w:lang w:val="sr-Cyrl-CS"/>
        </w:rPr>
        <w:t xml:space="preserve">Напомене: </w:t>
      </w:r>
    </w:p>
    <w:p w14:paraId="66179044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EC69CA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</w:t>
      </w:r>
      <w:r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.</w:t>
      </w:r>
    </w:p>
    <w:p w14:paraId="31067166" w14:textId="71F89222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C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p w14:paraId="680B24A6" w14:textId="31F6852A" w:rsidR="00C94B8B" w:rsidRDefault="00C94B8B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</w:p>
    <w:p w14:paraId="6CCA1EFD" w14:textId="77777777" w:rsidR="00C94B8B" w:rsidRPr="00E626E8" w:rsidRDefault="00C94B8B" w:rsidP="00C94B8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lang w:val="sr-Cyrl-RS" w:eastAsia="sr-Latn-CS"/>
        </w:rPr>
      </w:pP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ЦЕНА УСЛУГЕ </w:t>
      </w:r>
      <w:r>
        <w:rPr>
          <w:rFonts w:ascii="Times New Roman" w:hAnsi="Times New Roman"/>
          <w:b/>
          <w:i/>
          <w:sz w:val="24"/>
          <w:lang w:val="sr-Cyrl-RS" w:eastAsia="sr-Latn-CS"/>
        </w:rPr>
        <w:t>ЧЕКАЊА</w:t>
      </w: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 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ПО САТУ </w:t>
      </w:r>
    </w:p>
    <w:p w14:paraId="2113C720" w14:textId="77777777" w:rsidR="00C94B8B" w:rsidRDefault="00C94B8B" w:rsidP="00C94B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0ECAC9CE" w14:textId="77777777" w:rsidR="00C94B8B" w:rsidRDefault="00C94B8B" w:rsidP="00C94B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чекања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20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14AC99A3" w14:textId="77777777" w:rsidR="00C94B8B" w:rsidRPr="00D20A20" w:rsidRDefault="00C94B8B" w:rsidP="00C94B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8"/>
          <w:lang w:val="sr-Cyrl-RS" w:eastAsia="sr-Latn-RS"/>
        </w:rPr>
      </w:pPr>
    </w:p>
    <w:p w14:paraId="3C8EC5BA" w14:textId="77777777" w:rsidR="00C94B8B" w:rsidRDefault="00C94B8B" w:rsidP="00C94B8B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2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4C443D4C" w14:textId="77777777" w:rsidR="00C94B8B" w:rsidRPr="000E5A2C" w:rsidRDefault="00C94B8B" w:rsidP="00C94B8B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70F06672" w14:textId="77777777" w:rsidR="00C94B8B" w:rsidRPr="00941EED" w:rsidRDefault="00C94B8B" w:rsidP="00C94B8B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51971B73" w14:textId="77777777" w:rsidR="00C94B8B" w:rsidRPr="0002649B" w:rsidRDefault="00C94B8B" w:rsidP="00C94B8B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2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2D04E451" w14:textId="77777777" w:rsidR="00C94B8B" w:rsidRDefault="00C94B8B" w:rsidP="00C94B8B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2FB7D397" w14:textId="77777777" w:rsidR="00C94B8B" w:rsidRPr="00415478" w:rsidRDefault="00C94B8B" w:rsidP="00C94B8B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</w:p>
    <w:p w14:paraId="3A3D0B5E" w14:textId="77777777" w:rsidR="00C94B8B" w:rsidRPr="00E968E0" w:rsidRDefault="00C94B8B" w:rsidP="00C94B8B">
      <w:pPr>
        <w:pStyle w:val="Default"/>
        <w:rPr>
          <w:i/>
          <w:u w:val="single"/>
          <w:lang w:val="sr-Cyrl-CS"/>
        </w:rPr>
      </w:pPr>
      <w:r w:rsidRPr="00E968E0">
        <w:rPr>
          <w:i/>
          <w:u w:val="single"/>
          <w:lang w:val="sr-Cyrl-CS"/>
        </w:rPr>
        <w:t xml:space="preserve">Напомене: </w:t>
      </w:r>
    </w:p>
    <w:p w14:paraId="52E9E1E0" w14:textId="77777777" w:rsidR="00C94B8B" w:rsidRDefault="00C94B8B" w:rsidP="00C94B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595F6337" w14:textId="029297A8" w:rsidR="00C94B8B" w:rsidRDefault="00C94B8B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bookmarkEnd w:id="4"/>
    <w:p w14:paraId="4B93855B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2"/>
          <w:u w:val="single"/>
          <w:lang w:val="sr-Cyrl-CS" w:eastAsia="sr-Latn-RS"/>
        </w:rPr>
      </w:pPr>
    </w:p>
    <w:p w14:paraId="756FDD2E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2"/>
          <w:u w:val="single"/>
          <w:lang w:val="sr-Cyrl-CS" w:eastAsia="sr-Latn-RS"/>
        </w:rPr>
      </w:pPr>
    </w:p>
    <w:p w14:paraId="5F8527D8" w14:textId="77777777" w:rsidR="009753A2" w:rsidRPr="00E626E8" w:rsidRDefault="009753A2" w:rsidP="009753A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4"/>
          <w:lang w:val="sr-Cyrl-RS" w:eastAsia="sr-Latn-RS"/>
        </w:rPr>
      </w:pPr>
      <w:r w:rsidRPr="00E626E8">
        <w:rPr>
          <w:rFonts w:ascii="Times New Roman" w:hAnsi="Times New Roman"/>
          <w:b/>
          <w:i/>
          <w:color w:val="000000"/>
          <w:sz w:val="24"/>
          <w:lang w:val="sr-Cyrl-RS" w:eastAsia="sr-Latn-RS"/>
        </w:rPr>
        <w:t>ПРОСЕЧНА СТАРОСТ ВОЗИЛА</w:t>
      </w:r>
    </w:p>
    <w:p w14:paraId="1256664F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18"/>
          <w:lang w:val="sr-Cyrl-RS" w:eastAsia="sr-Latn-RS"/>
        </w:rPr>
      </w:pPr>
    </w:p>
    <w:p w14:paraId="53F81846" w14:textId="3DEA8922" w:rsidR="00AA5D5F" w:rsidRDefault="00AA5D5F" w:rsidP="00AA5D5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најмањом просечном старошћу возила,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>30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пондера. Просечна старост возила сваког понуђача утврђује се сабирањем пондера за возил</w:t>
      </w:r>
      <w:r>
        <w:rPr>
          <w:rFonts w:ascii="Times New Roman" w:hAnsi="Times New Roman"/>
          <w:color w:val="000000"/>
          <w:sz w:val="24"/>
          <w:lang w:val="sr-Latn-RS" w:eastAsia="sr-Latn-RS"/>
        </w:rPr>
        <w:t>a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за које понуђач достави очитане саобраћајн</w:t>
      </w:r>
      <w:r w:rsidR="009B7988">
        <w:rPr>
          <w:rFonts w:ascii="Times New Roman" w:hAnsi="Times New Roman"/>
          <w:color w:val="000000"/>
          <w:sz w:val="24"/>
          <w:lang w:val="sr-Cyrl-RS" w:eastAsia="sr-Latn-RS"/>
        </w:rPr>
        <w:t>е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дозвол</w:t>
      </w:r>
      <w:r w:rsidR="009B7988">
        <w:rPr>
          <w:rFonts w:ascii="Times New Roman" w:hAnsi="Times New Roman"/>
          <w:color w:val="000000"/>
          <w:sz w:val="24"/>
          <w:lang w:val="sr-Cyrl-RS" w:eastAsia="sr-Latn-RS"/>
        </w:rPr>
        <w:t>е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, а у складу са приложеном табелом. </w:t>
      </w:r>
    </w:p>
    <w:p w14:paraId="5B9D0DED" w14:textId="77777777" w:rsidR="00876AC6" w:rsidRPr="00876AC6" w:rsidRDefault="00876AC6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</w:p>
    <w:p w14:paraId="417C6C41" w14:textId="235A34E2" w:rsidR="009753A2" w:rsidRDefault="003847A5" w:rsidP="009753A2">
      <w:pPr>
        <w:autoSpaceDE w:val="0"/>
        <w:autoSpaceDN w:val="0"/>
        <w:adjustRightInd w:val="0"/>
        <w:rPr>
          <w:rFonts w:ascii="Times New Roman" w:hAnsi="Times New Roman"/>
          <w:sz w:val="24"/>
          <w:lang w:val="sr-Cyrl-RS"/>
        </w:rPr>
      </w:pPr>
      <w:r w:rsidRPr="001367E3">
        <w:rPr>
          <w:rFonts w:ascii="Times New Roman" w:hAnsi="Times New Roman"/>
          <w:sz w:val="24"/>
          <w:lang w:val="sr-Cyrl-RS"/>
        </w:rPr>
        <w:t>Код овог критеријума бодује се просечна старост возила</w:t>
      </w:r>
      <w:r>
        <w:rPr>
          <w:rFonts w:ascii="Times New Roman" w:hAnsi="Times New Roman"/>
          <w:sz w:val="24"/>
          <w:lang w:val="sr-Cyrl-RS"/>
        </w:rPr>
        <w:t xml:space="preserve"> закључно са даном отварања понуда</w:t>
      </w:r>
      <w:r w:rsidR="009753A2" w:rsidRPr="001367E3">
        <w:rPr>
          <w:rFonts w:ascii="Times New Roman" w:hAnsi="Times New Roman"/>
          <w:sz w:val="24"/>
          <w:lang w:val="sr-Cyrl-RS"/>
        </w:rPr>
        <w:t>, и то</w:t>
      </w:r>
      <w:r w:rsidR="009753A2">
        <w:rPr>
          <w:rFonts w:ascii="Times New Roman" w:hAnsi="Times New Roman"/>
          <w:sz w:val="24"/>
          <w:lang w:val="sr-Cyrl-RS"/>
        </w:rPr>
        <w:t xml:space="preserve"> на следећи начин</w:t>
      </w:r>
      <w:r w:rsidR="009753A2" w:rsidRPr="001367E3">
        <w:rPr>
          <w:rFonts w:ascii="Times New Roman" w:hAnsi="Times New Roman"/>
          <w:sz w:val="24"/>
          <w:lang w:val="sr-Cyrl-RS"/>
        </w:rPr>
        <w:t>:</w:t>
      </w:r>
    </w:p>
    <w:p w14:paraId="56AB8EFA" w14:textId="77777777" w:rsidR="0088481A" w:rsidRPr="00C83F41" w:rsidRDefault="0088481A" w:rsidP="009753A2">
      <w:pPr>
        <w:autoSpaceDE w:val="0"/>
        <w:autoSpaceDN w:val="0"/>
        <w:adjustRightInd w:val="0"/>
        <w:rPr>
          <w:rFonts w:ascii="Times New Roman" w:hAnsi="Times New Roman"/>
          <w:sz w:val="24"/>
          <w:lang w:val="sr-Cyrl-RS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5"/>
        <w:gridCol w:w="4550"/>
        <w:gridCol w:w="3686"/>
      </w:tblGrid>
      <w:tr w:rsidR="00A6075B" w:rsidRPr="00115E47" w14:paraId="5E40AD44" w14:textId="77777777" w:rsidTr="00E312AE">
        <w:tc>
          <w:tcPr>
            <w:tcW w:w="1105" w:type="dxa"/>
            <w:shd w:val="clear" w:color="auto" w:fill="auto"/>
            <w:vAlign w:val="center"/>
          </w:tcPr>
          <w:p w14:paraId="5D51D1F4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Ред.број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26F05D67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Датум прве регистрације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3BF123" w14:textId="58B9C96C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 xml:space="preserve">Број пондера за </w:t>
            </w:r>
            <w:r w:rsidR="00A62516">
              <w:rPr>
                <w:rFonts w:ascii="Times New Roman" w:hAnsi="Times New Roman"/>
                <w:b/>
                <w:bCs/>
                <w:sz w:val="24"/>
                <w:lang w:val="sr-Cyrl-RS"/>
              </w:rPr>
              <w:t>комби возила</w:t>
            </w:r>
          </w:p>
        </w:tc>
      </w:tr>
      <w:tr w:rsidR="00A43D9B" w:rsidRPr="00115E47" w14:paraId="6F2164C5" w14:textId="77777777" w:rsidTr="00E312AE">
        <w:tc>
          <w:tcPr>
            <w:tcW w:w="1105" w:type="dxa"/>
            <w:shd w:val="clear" w:color="auto" w:fill="auto"/>
            <w:vAlign w:val="center"/>
          </w:tcPr>
          <w:p w14:paraId="7243EB7B" w14:textId="77777777" w:rsidR="00A43D9B" w:rsidRPr="00474D28" w:rsidRDefault="00A43D9B" w:rsidP="00A43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1.</w:t>
            </w:r>
          </w:p>
        </w:tc>
        <w:tc>
          <w:tcPr>
            <w:tcW w:w="4550" w:type="dxa"/>
            <w:shd w:val="clear" w:color="auto" w:fill="auto"/>
          </w:tcPr>
          <w:p w14:paraId="32ADCF76" w14:textId="193C7F27" w:rsidR="00A43D9B" w:rsidRPr="00474D28" w:rsidRDefault="00A43D9B" w:rsidP="00A43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01.01.2025. године до дана отварања понуда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FCAC6C" w14:textId="47A058C8" w:rsidR="00A43D9B" w:rsidRPr="00474D28" w:rsidRDefault="00A43D9B" w:rsidP="00A43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10</w:t>
            </w:r>
          </w:p>
        </w:tc>
      </w:tr>
      <w:tr w:rsidR="00A43D9B" w:rsidRPr="00115E47" w14:paraId="6546AAB7" w14:textId="77777777" w:rsidTr="00E312AE">
        <w:tc>
          <w:tcPr>
            <w:tcW w:w="1105" w:type="dxa"/>
            <w:shd w:val="clear" w:color="auto" w:fill="auto"/>
            <w:vAlign w:val="center"/>
          </w:tcPr>
          <w:p w14:paraId="6F23C131" w14:textId="77777777" w:rsidR="00A43D9B" w:rsidRPr="00474D28" w:rsidRDefault="00A43D9B" w:rsidP="00A43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2.</w:t>
            </w:r>
          </w:p>
        </w:tc>
        <w:tc>
          <w:tcPr>
            <w:tcW w:w="4550" w:type="dxa"/>
            <w:shd w:val="clear" w:color="auto" w:fill="auto"/>
          </w:tcPr>
          <w:p w14:paraId="49B756BB" w14:textId="6D567B25" w:rsidR="00A43D9B" w:rsidRPr="00474D28" w:rsidRDefault="00A43D9B" w:rsidP="00A43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01.01.2024. године до 31.12.2024.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872D5C" w14:textId="1B32D640" w:rsidR="00A43D9B" w:rsidRPr="00474D28" w:rsidRDefault="00A43D9B" w:rsidP="00A43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7</w:t>
            </w:r>
          </w:p>
        </w:tc>
      </w:tr>
      <w:tr w:rsidR="00A43D9B" w:rsidRPr="00115E47" w14:paraId="0AFF252E" w14:textId="77777777" w:rsidTr="00E312AE">
        <w:tc>
          <w:tcPr>
            <w:tcW w:w="1105" w:type="dxa"/>
            <w:shd w:val="clear" w:color="auto" w:fill="auto"/>
            <w:vAlign w:val="center"/>
          </w:tcPr>
          <w:p w14:paraId="631023F7" w14:textId="77777777" w:rsidR="00A43D9B" w:rsidRPr="00474D28" w:rsidRDefault="00A43D9B" w:rsidP="00A43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3.</w:t>
            </w:r>
          </w:p>
        </w:tc>
        <w:tc>
          <w:tcPr>
            <w:tcW w:w="4550" w:type="dxa"/>
            <w:shd w:val="clear" w:color="auto" w:fill="auto"/>
          </w:tcPr>
          <w:p w14:paraId="7D40B3BC" w14:textId="2606370A" w:rsidR="00A43D9B" w:rsidRPr="00474D28" w:rsidRDefault="00A43D9B" w:rsidP="00A43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01.01.2023. године до 31.12.2023.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3C40EA" w14:textId="5047C0AB" w:rsidR="00A43D9B" w:rsidRPr="00474D28" w:rsidRDefault="00A43D9B" w:rsidP="00A43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5</w:t>
            </w:r>
          </w:p>
        </w:tc>
      </w:tr>
      <w:tr w:rsidR="00A43D9B" w:rsidRPr="00115E47" w14:paraId="7393F8F6" w14:textId="77777777" w:rsidTr="00E312AE">
        <w:tc>
          <w:tcPr>
            <w:tcW w:w="1105" w:type="dxa"/>
            <w:shd w:val="clear" w:color="auto" w:fill="auto"/>
            <w:vAlign w:val="center"/>
          </w:tcPr>
          <w:p w14:paraId="794211A7" w14:textId="77777777" w:rsidR="00A43D9B" w:rsidRPr="00474D28" w:rsidRDefault="00A43D9B" w:rsidP="00A43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4.</w:t>
            </w:r>
          </w:p>
        </w:tc>
        <w:tc>
          <w:tcPr>
            <w:tcW w:w="4550" w:type="dxa"/>
            <w:shd w:val="clear" w:color="auto" w:fill="auto"/>
          </w:tcPr>
          <w:p w14:paraId="76AC197E" w14:textId="27B42610" w:rsidR="00A43D9B" w:rsidRPr="00474D28" w:rsidRDefault="00A43D9B" w:rsidP="00AF5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Од </w:t>
            </w:r>
            <w:r w:rsidR="00AF5E6B">
              <w:rPr>
                <w:rFonts w:ascii="Times New Roman" w:hAnsi="Times New Roman"/>
                <w:sz w:val="24"/>
                <w:lang w:val="sr-Latn-RS"/>
              </w:rPr>
              <w:t>11</w:t>
            </w:r>
            <w:bookmarkStart w:id="5" w:name="_GoBack"/>
            <w:bookmarkEnd w:id="5"/>
            <w:r w:rsidR="00A82B47">
              <w:rPr>
                <w:rFonts w:ascii="Times New Roman" w:hAnsi="Times New Roman"/>
                <w:sz w:val="24"/>
                <w:lang w:val="sr-Latn-RS"/>
              </w:rPr>
              <w:t>.0</w:t>
            </w:r>
            <w:r w:rsidR="00A82B47">
              <w:rPr>
                <w:rFonts w:ascii="Times New Roman" w:hAnsi="Times New Roman"/>
                <w:sz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lang w:val="sr-Latn-RS"/>
              </w:rPr>
              <w:t>.</w:t>
            </w:r>
            <w:r>
              <w:rPr>
                <w:rFonts w:ascii="Times New Roman" w:hAnsi="Times New Roman"/>
                <w:sz w:val="24"/>
                <w:lang w:val="sr-Cyrl-RS"/>
              </w:rPr>
              <w:t>2021. године до 31.12.2022.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5AF148" w14:textId="728A3DC1" w:rsidR="00A43D9B" w:rsidRPr="00474D28" w:rsidRDefault="00A43D9B" w:rsidP="00A43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3</w:t>
            </w:r>
          </w:p>
        </w:tc>
      </w:tr>
    </w:tbl>
    <w:p w14:paraId="0EE0695A" w14:textId="0E98F499" w:rsidR="00D17D9B" w:rsidRDefault="00D17D9B" w:rsidP="006837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sr-Cyrl-RS"/>
        </w:rPr>
      </w:pPr>
    </w:p>
    <w:p w14:paraId="1CEC5B04" w14:textId="77777777" w:rsidR="0088481A" w:rsidRDefault="0088481A" w:rsidP="006837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sr-Cyrl-RS"/>
        </w:rPr>
      </w:pPr>
    </w:p>
    <w:p w14:paraId="447DBEED" w14:textId="77777777" w:rsidR="008B43F9" w:rsidRDefault="008B43F9" w:rsidP="006837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sr-Cyrl-RS"/>
        </w:rPr>
      </w:pPr>
    </w:p>
    <w:p w14:paraId="472F9876" w14:textId="2FE8BE7C" w:rsidR="0068379A" w:rsidRPr="00324C29" w:rsidRDefault="009753A2" w:rsidP="0068379A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sr-Cyrl-CS" w:eastAsia="sr-Latn-RS"/>
        </w:rPr>
      </w:pPr>
      <w:r>
        <w:rPr>
          <w:rFonts w:ascii="Times New Roman" w:hAnsi="Times New Roman"/>
          <w:b/>
          <w:bCs/>
          <w:sz w:val="24"/>
          <w:lang w:val="sr-Cyrl-RS"/>
        </w:rPr>
        <w:lastRenderedPageBreak/>
        <w:t>4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. </w:t>
      </w:r>
      <w:r w:rsidR="006842FC">
        <w:rPr>
          <w:rFonts w:ascii="Times New Roman" w:hAnsi="Times New Roman"/>
          <w:b/>
          <w:bCs/>
          <w:sz w:val="24"/>
          <w:lang w:val="sr-Cyrl-RS"/>
        </w:rPr>
        <w:t>Резервни</w:t>
      </w:r>
      <w:r w:rsidR="0068379A" w:rsidRPr="00AB2474">
        <w:rPr>
          <w:rFonts w:ascii="Times New Roman" w:hAnsi="Times New Roman"/>
          <w:b/>
          <w:bCs/>
          <w:sz w:val="24"/>
          <w:lang w:val="sr-Cyrl-RS"/>
        </w:rPr>
        <w:t xml:space="preserve"> критеријума на основу којих ће Наручилац извршити доделу уговора у ситуацији када посто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је две или више понуда </w:t>
      </w:r>
      <w:r w:rsidR="0068379A" w:rsidRPr="00776988">
        <w:rPr>
          <w:rFonts w:ascii="Times New Roman" w:hAnsi="Times New Roman"/>
          <w:b/>
          <w:bCs/>
          <w:sz w:val="24"/>
          <w:lang w:val="sr-Cyrl-RS"/>
        </w:rPr>
        <w:t>са истим бројем пондера</w:t>
      </w:r>
    </w:p>
    <w:p w14:paraId="07F8B4A6" w14:textId="77777777" w:rsidR="0068379A" w:rsidRPr="001909F6" w:rsidRDefault="0068379A" w:rsidP="0068379A">
      <w:pPr>
        <w:ind w:left="720"/>
        <w:jc w:val="both"/>
        <w:rPr>
          <w:rFonts w:ascii="Times New Roman" w:hAnsi="Times New Roman"/>
          <w:iCs/>
          <w:sz w:val="6"/>
          <w:szCs w:val="12"/>
          <w:lang w:val="sr-Cyrl-CS"/>
        </w:rPr>
      </w:pPr>
    </w:p>
    <w:p w14:paraId="6B36E63F" w14:textId="77777777" w:rsidR="0068379A" w:rsidRDefault="0068379A" w:rsidP="0068379A">
      <w:pPr>
        <w:pStyle w:val="NoSpacing"/>
        <w:jc w:val="both"/>
      </w:pPr>
    </w:p>
    <w:p w14:paraId="27127253" w14:textId="77777777" w:rsidR="008B43F9" w:rsidRDefault="008B43F9" w:rsidP="008B43F9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>и број пондера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чија је цена изнајмљивања возила са возачем по сату нижа</w:t>
      </w:r>
      <w:r>
        <w:rPr>
          <w:rFonts w:ascii="Times New Roman" w:hAnsi="Times New Roman"/>
          <w:sz w:val="24"/>
          <w:lang w:val="sr-Cyrl-RS"/>
        </w:rPr>
        <w:t>.</w:t>
      </w:r>
    </w:p>
    <w:p w14:paraId="09B8A708" w14:textId="1F61F6FE" w:rsidR="008B43F9" w:rsidRDefault="008B43F9" w:rsidP="008B43F9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</w:t>
      </w:r>
      <w:r>
        <w:rPr>
          <w:rFonts w:ascii="Times New Roman" w:hAnsi="Times New Roman"/>
          <w:sz w:val="24"/>
          <w:lang w:val="sr-Cyrl-CS"/>
        </w:rPr>
        <w:t>колико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 </w:t>
      </w:r>
      <w:r>
        <w:rPr>
          <w:rFonts w:ascii="Times New Roman" w:hAnsi="Times New Roman"/>
          <w:sz w:val="24"/>
          <w:lang w:val="sr-Cyrl-RS"/>
        </w:rPr>
        <w:t xml:space="preserve">и </w:t>
      </w:r>
      <w:proofErr w:type="spellStart"/>
      <w:r>
        <w:rPr>
          <w:rFonts w:ascii="Times New Roman" w:hAnsi="Times New Roman"/>
          <w:sz w:val="24"/>
        </w:rPr>
        <w:t>исту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>има највећи број возила са датумом</w:t>
      </w:r>
      <w:r w:rsidR="00A43D9B">
        <w:rPr>
          <w:rFonts w:ascii="Times New Roman" w:hAnsi="Times New Roman"/>
          <w:sz w:val="24"/>
          <w:lang w:val="sr-Cyrl-RS"/>
        </w:rPr>
        <w:t xml:space="preserve"> прве регистрације од 01.01.2025</w:t>
      </w:r>
      <w:r>
        <w:rPr>
          <w:rFonts w:ascii="Times New Roman" w:hAnsi="Times New Roman"/>
          <w:sz w:val="24"/>
          <w:lang w:val="sr-Cyrl-RS"/>
        </w:rPr>
        <w:t>. године до</w:t>
      </w:r>
      <w:r w:rsidRPr="009753A2">
        <w:rPr>
          <w:rFonts w:ascii="Times New Roman" w:hAnsi="Times New Roman"/>
          <w:sz w:val="24"/>
          <w:lang w:val="sr-Cyrl-RS"/>
        </w:rPr>
        <w:t xml:space="preserve"> датума отварања понуда</w:t>
      </w:r>
      <w:r>
        <w:rPr>
          <w:rFonts w:ascii="Times New Roman" w:hAnsi="Times New Roman"/>
          <w:sz w:val="24"/>
          <w:lang w:val="sr-Cyrl-RS"/>
        </w:rPr>
        <w:t>.</w:t>
      </w:r>
    </w:p>
    <w:p w14:paraId="0BEC9F52" w14:textId="5818532B" w:rsidR="008B43F9" w:rsidRDefault="008B43F9" w:rsidP="008B43F9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 xml:space="preserve">, као и </w:t>
      </w:r>
      <w:proofErr w:type="gramStart"/>
      <w:r>
        <w:rPr>
          <w:rFonts w:ascii="Times New Roman" w:hAnsi="Times New Roman"/>
          <w:sz w:val="24"/>
          <w:lang w:val="sr-Cyrl-RS"/>
        </w:rPr>
        <w:t>исти  број</w:t>
      </w:r>
      <w:proofErr w:type="gramEnd"/>
      <w:r>
        <w:rPr>
          <w:rFonts w:ascii="Times New Roman" w:hAnsi="Times New Roman"/>
          <w:sz w:val="24"/>
          <w:lang w:val="sr-Cyrl-RS"/>
        </w:rPr>
        <w:t xml:space="preserve"> возила са датумом</w:t>
      </w:r>
      <w:r w:rsidR="00447582">
        <w:rPr>
          <w:rFonts w:ascii="Times New Roman" w:hAnsi="Times New Roman"/>
          <w:sz w:val="24"/>
          <w:lang w:val="sr-Cyrl-RS"/>
        </w:rPr>
        <w:t xml:space="preserve"> прве регистрације од 01.01.202</w:t>
      </w:r>
      <w:r w:rsidR="00A43D9B">
        <w:rPr>
          <w:rFonts w:ascii="Times New Roman" w:hAnsi="Times New Roman"/>
          <w:sz w:val="24"/>
          <w:lang w:val="sr-Cyrl-RS"/>
        </w:rPr>
        <w:t>5</w:t>
      </w:r>
      <w:r>
        <w:rPr>
          <w:rFonts w:ascii="Times New Roman" w:hAnsi="Times New Roman"/>
          <w:sz w:val="24"/>
          <w:lang w:val="sr-Cyrl-RS"/>
        </w:rPr>
        <w:t xml:space="preserve">. године до </w:t>
      </w:r>
      <w:r w:rsidRPr="009753A2">
        <w:rPr>
          <w:rFonts w:ascii="Times New Roman" w:hAnsi="Times New Roman"/>
          <w:sz w:val="24"/>
          <w:lang w:val="sr-Cyrl-RS"/>
        </w:rPr>
        <w:t>датума отварања понуда</w:t>
      </w:r>
      <w:r>
        <w:rPr>
          <w:rFonts w:ascii="Times New Roman" w:hAnsi="Times New Roman"/>
          <w:sz w:val="24"/>
          <w:lang w:val="sr-Cyrl-RS"/>
        </w:rPr>
        <w:t xml:space="preserve">, као најповољнија биће изабрана понуда оног понуђача који има најнижу цену услуге чекања по сату. </w:t>
      </w:r>
    </w:p>
    <w:p w14:paraId="0FA8D639" w14:textId="7D3B47DB" w:rsidR="008B43F9" w:rsidRDefault="008B43F9" w:rsidP="008B43F9">
      <w:pPr>
        <w:pStyle w:val="NoSpacing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>, исти број возила са датумом</w:t>
      </w:r>
      <w:r w:rsidR="00A43D9B">
        <w:rPr>
          <w:rFonts w:ascii="Times New Roman" w:hAnsi="Times New Roman"/>
          <w:sz w:val="24"/>
          <w:lang w:val="sr-Cyrl-RS"/>
        </w:rPr>
        <w:t xml:space="preserve"> прве регистрације од 01.01.2025</w:t>
      </w:r>
      <w:r>
        <w:rPr>
          <w:rFonts w:ascii="Times New Roman" w:hAnsi="Times New Roman"/>
          <w:sz w:val="24"/>
          <w:lang w:val="sr-Cyrl-RS"/>
        </w:rPr>
        <w:t xml:space="preserve">. године </w:t>
      </w:r>
      <w:r w:rsidRPr="009753A2">
        <w:rPr>
          <w:rFonts w:ascii="Times New Roman" w:hAnsi="Times New Roman"/>
          <w:sz w:val="24"/>
          <w:lang w:val="sr-Cyrl-RS"/>
        </w:rPr>
        <w:t>до датума отварања понуда</w:t>
      </w:r>
      <w:r>
        <w:rPr>
          <w:rFonts w:ascii="Times New Roman" w:hAnsi="Times New Roman"/>
          <w:sz w:val="24"/>
          <w:lang w:val="sr-Cyrl-RS"/>
        </w:rPr>
        <w:t xml:space="preserve"> као и исту цену услуге чекања по сату,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жреба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78035919" w14:textId="337DFC75" w:rsidR="00F77384" w:rsidRDefault="00F77384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4B757E81" w14:textId="6B2248E7" w:rsidR="00F77384" w:rsidRDefault="00F77384" w:rsidP="00F77384">
      <w:pPr>
        <w:jc w:val="both"/>
        <w:rPr>
          <w:rFonts w:ascii="Times New Roman" w:eastAsia="Calibri" w:hAnsi="Times New Roman"/>
          <w:b/>
          <w:color w:val="000000"/>
          <w:sz w:val="24"/>
          <w:szCs w:val="22"/>
          <w:lang w:val="sr-Cyrl-RS"/>
        </w:rPr>
      </w:pPr>
      <w:r>
        <w:rPr>
          <w:rFonts w:ascii="Times New Roman" w:eastAsia="Calibri" w:hAnsi="Times New Roman"/>
          <w:b/>
          <w:color w:val="000000"/>
          <w:sz w:val="24"/>
          <w:lang w:val="sr-Cyrl-RS"/>
        </w:rPr>
        <w:t>5. Додатна документација – докази потребни за проверу критеријума квалитета</w:t>
      </w:r>
    </w:p>
    <w:p w14:paraId="7582EB1C" w14:textId="7B716B79" w:rsidR="00F77384" w:rsidRDefault="00F77384" w:rsidP="00F77384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 складу са прописаним критеријумима за доделу уговора, а којима је као елемент критеријума квалитета одређена  просечна старост возила</w:t>
      </w:r>
      <w:r>
        <w:rPr>
          <w:rFonts w:ascii="Times New Roman" w:hAnsi="Times New Roman"/>
          <w:color w:val="000000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п</w:t>
      </w:r>
      <w:proofErr w:type="spellStart"/>
      <w:r>
        <w:rPr>
          <w:rFonts w:ascii="Times New Roman" w:hAnsi="Times New Roman"/>
          <w:sz w:val="24"/>
        </w:rPr>
        <w:t>онуђач</w:t>
      </w:r>
      <w:proofErr w:type="spellEnd"/>
      <w:r>
        <w:rPr>
          <w:rFonts w:ascii="Times New Roman" w:hAnsi="Times New Roman"/>
          <w:sz w:val="24"/>
          <w:lang w:val="sr-Cyrl-RS"/>
        </w:rPr>
        <w:t xml:space="preserve">и су у обавези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у оквиру своје понуде </w:t>
      </w:r>
      <w:proofErr w:type="spellStart"/>
      <w:r>
        <w:rPr>
          <w:rFonts w:ascii="Times New Roman" w:hAnsi="Times New Roman"/>
          <w:sz w:val="24"/>
        </w:rPr>
        <w:t>достав</w:t>
      </w:r>
      <w:proofErr w:type="spellEnd"/>
      <w:r>
        <w:rPr>
          <w:rFonts w:ascii="Times New Roman" w:hAnsi="Times New Roman"/>
          <w:sz w:val="24"/>
          <w:lang w:val="sr-Cyrl-RS"/>
        </w:rPr>
        <w:t xml:space="preserve">е </w:t>
      </w:r>
      <w:r>
        <w:rPr>
          <w:rFonts w:ascii="Times New Roman" w:hAnsi="Times New Roman"/>
          <w:sz w:val="24"/>
          <w:u w:val="single"/>
          <w:lang w:val="sr-Cyrl-RS"/>
        </w:rPr>
        <w:t xml:space="preserve">очитане </w:t>
      </w:r>
      <w:r w:rsidR="00D17D9B">
        <w:rPr>
          <w:rFonts w:ascii="Times New Roman" w:hAnsi="Times New Roman"/>
          <w:sz w:val="24"/>
          <w:u w:val="single"/>
          <w:lang w:val="sr-Cyrl-RS"/>
        </w:rPr>
        <w:t xml:space="preserve">важеће </w:t>
      </w:r>
      <w:r>
        <w:rPr>
          <w:rFonts w:ascii="Times New Roman" w:hAnsi="Times New Roman"/>
          <w:sz w:val="24"/>
          <w:u w:val="single"/>
          <w:lang w:val="sr-Cyrl-RS"/>
        </w:rPr>
        <w:t>саобраћајне дозволе за 3 (три) комби возила која наводе у Обрасцу струкутре понуђене цене, у табели под тачком 2. Просечна старост комби возила.</w:t>
      </w:r>
    </w:p>
    <w:p w14:paraId="034AEF65" w14:textId="77777777" w:rsidR="00F77384" w:rsidRPr="009753A2" w:rsidRDefault="00F77384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01AD1122" w14:textId="77777777" w:rsidR="0068379A" w:rsidRPr="009753A2" w:rsidRDefault="0068379A" w:rsidP="00895EA7">
      <w:pPr>
        <w:jc w:val="both"/>
        <w:rPr>
          <w:rFonts w:ascii="Times New Roman" w:eastAsia="Calibri" w:hAnsi="Times New Roman"/>
          <w:sz w:val="24"/>
          <w:lang w:val="sr-Latn-RS"/>
        </w:rPr>
      </w:pPr>
    </w:p>
    <w:sectPr w:rsidR="0068379A" w:rsidRPr="00975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3CB0" w16cex:dateUtc="2020-12-22T08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49"/>
    <w:multiLevelType w:val="hybridMultilevel"/>
    <w:tmpl w:val="0422E07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36C"/>
    <w:multiLevelType w:val="hybridMultilevel"/>
    <w:tmpl w:val="AAAE8A5A"/>
    <w:lvl w:ilvl="0" w:tplc="D91E0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2AB3"/>
    <w:multiLevelType w:val="hybridMultilevel"/>
    <w:tmpl w:val="0820285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3C749C"/>
    <w:multiLevelType w:val="hybridMultilevel"/>
    <w:tmpl w:val="35869F18"/>
    <w:lvl w:ilvl="0" w:tplc="E244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0E3"/>
    <w:multiLevelType w:val="hybridMultilevel"/>
    <w:tmpl w:val="2200BE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46A"/>
    <w:multiLevelType w:val="multilevel"/>
    <w:tmpl w:val="F8BE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C05F8"/>
    <w:multiLevelType w:val="hybridMultilevel"/>
    <w:tmpl w:val="D5C80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7183"/>
    <w:multiLevelType w:val="hybridMultilevel"/>
    <w:tmpl w:val="239C96C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4729"/>
    <w:multiLevelType w:val="hybridMultilevel"/>
    <w:tmpl w:val="F0D608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54731"/>
    <w:multiLevelType w:val="hybridMultilevel"/>
    <w:tmpl w:val="0694D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B7"/>
    <w:rsid w:val="00010455"/>
    <w:rsid w:val="00060726"/>
    <w:rsid w:val="000A06A4"/>
    <w:rsid w:val="000F2654"/>
    <w:rsid w:val="000F59D2"/>
    <w:rsid w:val="000F6FA1"/>
    <w:rsid w:val="00113EAB"/>
    <w:rsid w:val="00116A2C"/>
    <w:rsid w:val="001423EB"/>
    <w:rsid w:val="00157007"/>
    <w:rsid w:val="00163BB7"/>
    <w:rsid w:val="001753CE"/>
    <w:rsid w:val="00175DB9"/>
    <w:rsid w:val="00195E3D"/>
    <w:rsid w:val="001C4F25"/>
    <w:rsid w:val="001F6BDD"/>
    <w:rsid w:val="00204C53"/>
    <w:rsid w:val="00205E41"/>
    <w:rsid w:val="0020713C"/>
    <w:rsid w:val="00210243"/>
    <w:rsid w:val="00240E4A"/>
    <w:rsid w:val="00242D26"/>
    <w:rsid w:val="002515C3"/>
    <w:rsid w:val="0028003D"/>
    <w:rsid w:val="00284AC2"/>
    <w:rsid w:val="00297854"/>
    <w:rsid w:val="002D2B68"/>
    <w:rsid w:val="002D3985"/>
    <w:rsid w:val="002D3F1A"/>
    <w:rsid w:val="002D50D7"/>
    <w:rsid w:val="002F3A3B"/>
    <w:rsid w:val="00310311"/>
    <w:rsid w:val="00321103"/>
    <w:rsid w:val="00324C29"/>
    <w:rsid w:val="00327788"/>
    <w:rsid w:val="003460E4"/>
    <w:rsid w:val="00377E7F"/>
    <w:rsid w:val="00382E4B"/>
    <w:rsid w:val="003847A5"/>
    <w:rsid w:val="003C489B"/>
    <w:rsid w:val="003E11DC"/>
    <w:rsid w:val="003E7092"/>
    <w:rsid w:val="003F2179"/>
    <w:rsid w:val="00410085"/>
    <w:rsid w:val="00413D7B"/>
    <w:rsid w:val="004237D8"/>
    <w:rsid w:val="00427602"/>
    <w:rsid w:val="00435505"/>
    <w:rsid w:val="00441E07"/>
    <w:rsid w:val="00447582"/>
    <w:rsid w:val="00495019"/>
    <w:rsid w:val="00496F2F"/>
    <w:rsid w:val="004D1587"/>
    <w:rsid w:val="004F17C9"/>
    <w:rsid w:val="005245FF"/>
    <w:rsid w:val="005373D0"/>
    <w:rsid w:val="00543C2E"/>
    <w:rsid w:val="0058549F"/>
    <w:rsid w:val="005A5A02"/>
    <w:rsid w:val="005B42E7"/>
    <w:rsid w:val="005B73A6"/>
    <w:rsid w:val="005C00CD"/>
    <w:rsid w:val="005D268A"/>
    <w:rsid w:val="0060203E"/>
    <w:rsid w:val="006312A2"/>
    <w:rsid w:val="00644249"/>
    <w:rsid w:val="00645A8F"/>
    <w:rsid w:val="00655859"/>
    <w:rsid w:val="00656BE1"/>
    <w:rsid w:val="00666D20"/>
    <w:rsid w:val="006743E9"/>
    <w:rsid w:val="0068379A"/>
    <w:rsid w:val="006842FC"/>
    <w:rsid w:val="006B0A42"/>
    <w:rsid w:val="006D2FB4"/>
    <w:rsid w:val="006D6194"/>
    <w:rsid w:val="006E406C"/>
    <w:rsid w:val="006F114C"/>
    <w:rsid w:val="006F7CCF"/>
    <w:rsid w:val="0070215D"/>
    <w:rsid w:val="007557AB"/>
    <w:rsid w:val="00777DD8"/>
    <w:rsid w:val="00781E92"/>
    <w:rsid w:val="007E1DC1"/>
    <w:rsid w:val="007E20FA"/>
    <w:rsid w:val="007E67E7"/>
    <w:rsid w:val="007F6048"/>
    <w:rsid w:val="008255DF"/>
    <w:rsid w:val="0084303D"/>
    <w:rsid w:val="0084608A"/>
    <w:rsid w:val="008606D5"/>
    <w:rsid w:val="00866259"/>
    <w:rsid w:val="00867B42"/>
    <w:rsid w:val="00876AC6"/>
    <w:rsid w:val="008810F9"/>
    <w:rsid w:val="0088481A"/>
    <w:rsid w:val="0088779E"/>
    <w:rsid w:val="00895EA7"/>
    <w:rsid w:val="008B43F9"/>
    <w:rsid w:val="008B4D84"/>
    <w:rsid w:val="008D5E66"/>
    <w:rsid w:val="008E1ABC"/>
    <w:rsid w:val="008E7926"/>
    <w:rsid w:val="008F56AF"/>
    <w:rsid w:val="009406B8"/>
    <w:rsid w:val="00967CE2"/>
    <w:rsid w:val="0097318F"/>
    <w:rsid w:val="009753A2"/>
    <w:rsid w:val="009B1915"/>
    <w:rsid w:val="009B7988"/>
    <w:rsid w:val="009C26BC"/>
    <w:rsid w:val="009C57DB"/>
    <w:rsid w:val="009D2F24"/>
    <w:rsid w:val="009E1CC2"/>
    <w:rsid w:val="009F47B8"/>
    <w:rsid w:val="00A309F5"/>
    <w:rsid w:val="00A43D9B"/>
    <w:rsid w:val="00A51F8A"/>
    <w:rsid w:val="00A57992"/>
    <w:rsid w:val="00A6075B"/>
    <w:rsid w:val="00A62516"/>
    <w:rsid w:val="00A81BBB"/>
    <w:rsid w:val="00A82B47"/>
    <w:rsid w:val="00A87451"/>
    <w:rsid w:val="00AA5D5F"/>
    <w:rsid w:val="00AA6ADC"/>
    <w:rsid w:val="00AB582D"/>
    <w:rsid w:val="00AF221D"/>
    <w:rsid w:val="00AF225C"/>
    <w:rsid w:val="00AF5E6B"/>
    <w:rsid w:val="00B2735B"/>
    <w:rsid w:val="00B448C6"/>
    <w:rsid w:val="00B72BB6"/>
    <w:rsid w:val="00B86CAA"/>
    <w:rsid w:val="00B96820"/>
    <w:rsid w:val="00BB080F"/>
    <w:rsid w:val="00BE3158"/>
    <w:rsid w:val="00C35393"/>
    <w:rsid w:val="00C65757"/>
    <w:rsid w:val="00C82F31"/>
    <w:rsid w:val="00C94B8B"/>
    <w:rsid w:val="00CA5BAA"/>
    <w:rsid w:val="00CA6E98"/>
    <w:rsid w:val="00CB5AA3"/>
    <w:rsid w:val="00CF1E6B"/>
    <w:rsid w:val="00D01F54"/>
    <w:rsid w:val="00D106B2"/>
    <w:rsid w:val="00D156D0"/>
    <w:rsid w:val="00D17D9B"/>
    <w:rsid w:val="00D41850"/>
    <w:rsid w:val="00D43BC0"/>
    <w:rsid w:val="00D50134"/>
    <w:rsid w:val="00D80447"/>
    <w:rsid w:val="00D92020"/>
    <w:rsid w:val="00DC08A5"/>
    <w:rsid w:val="00DD104C"/>
    <w:rsid w:val="00E273AC"/>
    <w:rsid w:val="00E30CB7"/>
    <w:rsid w:val="00E312AE"/>
    <w:rsid w:val="00E4450D"/>
    <w:rsid w:val="00E76D3F"/>
    <w:rsid w:val="00E968E0"/>
    <w:rsid w:val="00ED259E"/>
    <w:rsid w:val="00EF160F"/>
    <w:rsid w:val="00EF39B9"/>
    <w:rsid w:val="00EF4434"/>
    <w:rsid w:val="00EF5049"/>
    <w:rsid w:val="00F06DD5"/>
    <w:rsid w:val="00F10076"/>
    <w:rsid w:val="00F424E4"/>
    <w:rsid w:val="00F54E82"/>
    <w:rsid w:val="00F6149A"/>
    <w:rsid w:val="00F636F1"/>
    <w:rsid w:val="00F77384"/>
    <w:rsid w:val="00F842B6"/>
    <w:rsid w:val="00F97D68"/>
    <w:rsid w:val="00FA1F29"/>
    <w:rsid w:val="00FD2CF3"/>
    <w:rsid w:val="00FE018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92B3"/>
  <w15:docId w15:val="{2A0CFA4A-5D40-4D0B-8E6F-B22F392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B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E30CB7"/>
    <w:pPr>
      <w:spacing w:after="160" w:line="240" w:lineRule="exact"/>
    </w:pPr>
    <w:rPr>
      <w:rFonts w:ascii="Verdana" w:hAnsi="Verdana"/>
      <w:szCs w:val="20"/>
    </w:rPr>
  </w:style>
  <w:style w:type="paragraph" w:styleId="ListParagraph">
    <w:name w:val="List Paragraph"/>
    <w:basedOn w:val="Normal"/>
    <w:uiPriority w:val="34"/>
    <w:qFormat/>
    <w:rsid w:val="008662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8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8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59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customStyle="1" w:styleId="tabletext-lijevo">
    <w:name w:val="tabletext-lijevo"/>
    <w:basedOn w:val="Normal"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6558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0">
    <w:name w:val="Char Char28 Char Char Char"/>
    <w:basedOn w:val="Normal"/>
    <w:rsid w:val="0068379A"/>
    <w:pPr>
      <w:spacing w:after="160" w:line="240" w:lineRule="exact"/>
    </w:pPr>
    <w:rPr>
      <w:rFonts w:ascii="Verdana" w:hAnsi="Verdana"/>
      <w:szCs w:val="20"/>
    </w:rPr>
  </w:style>
  <w:style w:type="paragraph" w:customStyle="1" w:styleId="Default">
    <w:name w:val="Default"/>
    <w:rsid w:val="002102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5FAC5-E313-46BF-9A74-0268E33F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Brusin</dc:creator>
  <cp:lastModifiedBy>Stevan Šapić</cp:lastModifiedBy>
  <cp:revision>66</cp:revision>
  <dcterms:created xsi:type="dcterms:W3CDTF">2020-12-22T08:46:00Z</dcterms:created>
  <dcterms:modified xsi:type="dcterms:W3CDTF">2026-04-28T09:30:00Z</dcterms:modified>
</cp:coreProperties>
</file>